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F0" w:rsidRDefault="001975F0" w:rsidP="001975F0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 </w:t>
      </w:r>
      <w:r>
        <w:rPr>
          <w:b/>
          <w:i/>
          <w:color w:val="C00000"/>
          <w:sz w:val="36"/>
          <w:szCs w:val="36"/>
        </w:rPr>
        <w:t>Переч</w:t>
      </w:r>
      <w:r>
        <w:rPr>
          <w:b/>
          <w:i/>
          <w:color w:val="C00000"/>
          <w:sz w:val="36"/>
          <w:szCs w:val="36"/>
        </w:rPr>
        <w:t>ень рейтинговых мероприятий 2020</w:t>
      </w:r>
      <w:r>
        <w:rPr>
          <w:b/>
          <w:i/>
          <w:color w:val="C00000"/>
          <w:sz w:val="36"/>
          <w:szCs w:val="36"/>
        </w:rPr>
        <w:t xml:space="preserve"> года.</w:t>
      </w:r>
    </w:p>
    <w:p w:rsidR="001975F0" w:rsidRDefault="001975F0" w:rsidP="001975F0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(для учреждений культуры культурно-досугового типа Калининградской области)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702"/>
        <w:gridCol w:w="3900"/>
        <w:gridCol w:w="2380"/>
        <w:gridCol w:w="3934"/>
      </w:tblGrid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Сроки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  <w:lang w:val="en-US"/>
              </w:rPr>
              <w:t>I</w:t>
            </w:r>
            <w:r>
              <w:rPr>
                <w:b/>
                <w:i/>
                <w:color w:val="00B050"/>
                <w:sz w:val="32"/>
                <w:szCs w:val="32"/>
              </w:rPr>
              <w:t>. Областные смотры, конкурсы, фестивали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B43317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0A789F">
            <w:pPr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Открытый</w:t>
            </w:r>
            <w:r w:rsidR="001975F0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 </w:t>
            </w:r>
            <w:r w:rsidR="00CD1FDD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областной фестиваль</w:t>
            </w:r>
            <w:r w:rsidR="001975F0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 танца «Янтарный хоровод»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CD1FDD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14-15 марта</w:t>
            </w:r>
          </w:p>
          <w:p w:rsidR="00CD1FDD" w:rsidRDefault="00CD1FDD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17 мая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CD1FD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Правдинск</w:t>
            </w:r>
          </w:p>
          <w:p w:rsidR="00CD1FDD" w:rsidRDefault="00CD1FD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Калининград</w:t>
            </w:r>
          </w:p>
          <w:p w:rsidR="00CD1FDD" w:rsidRDefault="00CD1FDD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(ДК «Машиностроитель»)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Смотр-конкурс вокальных и хоровых коллективов, солис</w:t>
            </w:r>
            <w:r w:rsidR="00DC7B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тов-исполнителей народного пения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«Музыка души»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561608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 xml:space="preserve"> 21</w:t>
            </w:r>
            <w:r w:rsidR="001975F0">
              <w:rPr>
                <w:color w:val="ED7D31" w:themeColor="accent2"/>
                <w:sz w:val="32"/>
                <w:szCs w:val="32"/>
              </w:rPr>
              <w:t xml:space="preserve"> марта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08" w:rsidRDefault="00561608" w:rsidP="00561608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Калининград</w:t>
            </w:r>
          </w:p>
          <w:p w:rsidR="001975F0" w:rsidRDefault="00561608" w:rsidP="00561608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(ДК «Машиностроитель»)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F94888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Областной конкурс чтецов «Победители»,</w:t>
            </w:r>
            <w:r w:rsidR="00B4331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посвященный</w:t>
            </w:r>
            <w:r w:rsidR="009F4F3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75-ой годовщине П</w:t>
            </w:r>
            <w:r w:rsidR="00B4331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обеды в ВОВ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F94888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28 марта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F94888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Гурьевск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ar-SA"/>
              </w:rPr>
              <w:t>ткрытый областной конкурс молодых исполнителей эстрадной песни «Надежда»</w:t>
            </w:r>
          </w:p>
          <w:p w:rsidR="001975F0" w:rsidRDefault="001975F0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846541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11 апреля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846541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Балтийск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44229" w:rsidP="009F4F3E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Открытая областная выставка ИЗО и ДПИ,</w:t>
            </w:r>
            <w:r w:rsidR="009F4F3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F4F3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посвященная 75-ой годовщине П</w:t>
            </w:r>
            <w:r w:rsidR="009F4F3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обеды в 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9" w:rsidRDefault="008F3A79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15 апреля-</w:t>
            </w:r>
          </w:p>
          <w:p w:rsidR="001975F0" w:rsidRDefault="008F3A79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15 мая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9" w:rsidRDefault="008F3A79" w:rsidP="008F3A79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Калининград</w:t>
            </w:r>
          </w:p>
          <w:p w:rsidR="001975F0" w:rsidRDefault="008F3A79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Историко-художественный музей</w:t>
            </w:r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  <w:t>Система подсчёта: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="00F03F4E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>Фестиваль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 танца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2F5496" w:themeColor="accent5" w:themeShade="BF"/>
                <w:sz w:val="28"/>
                <w:szCs w:val="28"/>
                <w:u w:val="single"/>
                <w:lang w:eastAsia="ru-RU"/>
              </w:rPr>
              <w:t>«Янтарный хоровод»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>: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-10 баллов, диплом лауреата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диплом лауреата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-5 баллов, диплом лауреата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3 степени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-3 балла,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спец.приз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Смотр-конкурс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  <w:t>«Музыка души»: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-номинации «Солисты», «Вокальные ансамбли» (малые формы: дуэт, трио):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-5 балла,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-4 балла,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-номинации «Вокальные ансамбли (4-6 участников)», «Вокальные ансамбли (7-10 участников)», «Хоры (от 12 человек)», «Хоры (от 25 человек)», «Академические хоры»: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- 5баллов,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lastRenderedPageBreak/>
              <w:t>III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Конкурс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2F5496" w:themeColor="accent5" w:themeShade="BF"/>
                <w:sz w:val="28"/>
                <w:szCs w:val="28"/>
                <w:u w:val="single"/>
                <w:lang w:eastAsia="ru-RU"/>
              </w:rPr>
              <w:t>«Надежд</w:t>
            </w:r>
            <w:r w:rsidRPr="005A2FA9"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  <w:t>а»: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-10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- 5баллов,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3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-3 балла,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спец.приз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3D586D" w:rsidRDefault="00491B6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Pr="007E72FB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Областная выставка </w:t>
            </w:r>
            <w:r w:rsidRPr="007E72FB"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  <w:t>ИЗО и ДПИ</w:t>
            </w:r>
            <w:r w:rsidR="005A2FA9"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  <w:t>:</w:t>
            </w:r>
          </w:p>
          <w:p w:rsidR="007E72FB" w:rsidRPr="007C7BB1" w:rsidRDefault="007D3D7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D75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</w:t>
            </w:r>
            <w:r w:rsidR="007E72FB" w:rsidRPr="007D3D75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иплом лауреата</w:t>
            </w:r>
            <w:r w:rsidR="007E72FB" w:rsidRPr="007C7BB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="007C7BB1" w:rsidRPr="007C7BB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7 баллов,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D3D75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</w:t>
            </w:r>
            <w:r w:rsidR="007C7BB1" w:rsidRPr="007D3D75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пециальный диплом</w:t>
            </w:r>
            <w:r w:rsidR="007C7BB1" w:rsidRPr="007C7BB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-5 баллов,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C7BB1" w:rsidRPr="007D3D75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диплом участника</w:t>
            </w:r>
            <w:r w:rsidR="007C7BB1" w:rsidRPr="007C7BB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-2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.</w:t>
            </w:r>
            <w:r w:rsidR="00166A47"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u w:val="single"/>
                <w:lang w:eastAsia="ru-RU"/>
              </w:rPr>
              <w:t xml:space="preserve">Конкурс чтецов </w:t>
            </w:r>
            <w:r w:rsidR="00166A47" w:rsidRPr="005A2FA9"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  <w:t>«Победители"</w:t>
            </w:r>
            <w:r w:rsidRPr="005A2FA9"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u w:val="single"/>
                <w:lang w:eastAsia="ru-RU"/>
              </w:rPr>
              <w:t>:</w:t>
            </w:r>
            <w:r w:rsidRPr="005A2FA9">
              <w:rPr>
                <w:rFonts w:ascii="Times New Roman" w:eastAsiaTheme="minorEastAsia" w:hAnsi="Times New Roman" w:cs="Times New Roman"/>
                <w:b/>
                <w:i/>
                <w:color w:val="4472C4" w:themeColor="accent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-10 баллов, диплом лауреата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-7 баллов, диплом лауреата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 степени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-5 баллов, диплом лауреата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3 степени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-3 балла,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спец.приз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>-2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Примечание: Учреждения культуры, принявшие участие во </w:t>
            </w:r>
            <w:r>
              <w:rPr>
                <w:rFonts w:ascii="Times New Roman" w:eastAsiaTheme="minorEastAsia" w:hAnsi="Times New Roman" w:cs="Times New Roman"/>
                <w:b/>
                <w:i/>
                <w:color w:val="7030A0"/>
                <w:sz w:val="36"/>
                <w:szCs w:val="36"/>
                <w:u w:val="single"/>
                <w:lang w:eastAsia="ru-RU"/>
              </w:rPr>
              <w:t>всех</w:t>
            </w:r>
            <w:r>
              <w:rPr>
                <w:rFonts w:ascii="Times New Roman" w:eastAsiaTheme="minorEastAsia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 рейтинговых конкурсах и фестивалях, но не получившие степенных дипломов, получают 1 дополнительный балл в общий рейтинг. (Балл активности)</w:t>
            </w:r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i/>
                <w:color w:val="00B050"/>
                <w:sz w:val="32"/>
                <w:szCs w:val="32"/>
              </w:rPr>
              <w:t>.Повышение квалификации (по отдельному плану)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Областная «Школа клубно</w:t>
            </w:r>
            <w:r w:rsidR="00105398">
              <w:rPr>
                <w:color w:val="1F3864" w:themeColor="accent5" w:themeShade="80"/>
                <w:sz w:val="28"/>
                <w:szCs w:val="28"/>
              </w:rPr>
              <w:t>го работника» (для специалистов сельских, городских и районных КДУ</w:t>
            </w:r>
            <w:r>
              <w:rPr>
                <w:color w:val="1F3864" w:themeColor="accent5" w:themeShade="80"/>
                <w:sz w:val="28"/>
                <w:szCs w:val="28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9E16DA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15 апреля</w:t>
            </w:r>
          </w:p>
          <w:p w:rsidR="00C34187" w:rsidRDefault="00C34187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</w:p>
          <w:p w:rsidR="009E16DA" w:rsidRDefault="009E16DA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30 октября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05398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Советск</w:t>
            </w:r>
          </w:p>
          <w:p w:rsidR="00C34187" w:rsidRDefault="00C34187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  <w:p w:rsidR="0000107C" w:rsidRDefault="0000107C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Правдинск</w:t>
            </w:r>
            <w:bookmarkStart w:id="0" w:name="_GoBack"/>
            <w:bookmarkEnd w:id="0"/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after="200" w:line="276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A"/>
                <w:sz w:val="28"/>
                <w:szCs w:val="28"/>
                <w:lang w:eastAsia="ru-RU"/>
              </w:rPr>
              <w:t>Система подсчёта: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 балл за каждого обучающегося</w:t>
            </w:r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  <w:lang w:val="en-US"/>
              </w:rPr>
              <w:t>III</w:t>
            </w:r>
            <w:r>
              <w:rPr>
                <w:b/>
                <w:i/>
                <w:color w:val="00B050"/>
                <w:sz w:val="32"/>
                <w:szCs w:val="32"/>
              </w:rPr>
              <w:t>.Участие в международных и Всероссийских творческих конкурсах, смотрах, фестивалях за пределами Калининградской области, (данные формы государственной статистической отчетности 7-НК), кроме онлайн конкурсов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 международных конкурсах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количество стран- участниц не менее 5, при предоставлении программы фестиваля с указанием названия коллектива 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во Всероссийских конкурсах</w:t>
            </w:r>
          </w:p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(под эгидой Государственного Российского Дома народного творчества и(или) Министерства культуры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при предоставлении программы конкурса с указанием названия коллектива и ксерокопий диплома(дипломов)</w:t>
            </w:r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Система подсчёта: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>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 международных конкурсах-1коллектив-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2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во Всероссийских конкурсах- 1 коллектив-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3 балла</w:t>
            </w:r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  <w:lang w:val="en-US"/>
              </w:rPr>
              <w:lastRenderedPageBreak/>
              <w:t>IV</w:t>
            </w:r>
            <w:r>
              <w:rPr>
                <w:b/>
                <w:i/>
                <w:color w:val="00B050"/>
                <w:sz w:val="32"/>
                <w:szCs w:val="32"/>
              </w:rPr>
              <w:t>.Участие в грантовой деятельности</w:t>
            </w: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грантов Министерства по культуре и туризму Калининградской области</w:t>
            </w:r>
          </w:p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Отдельно учитывается заявка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грантов в сторонних организациях Калининградской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975F0" w:rsidTr="005A2FA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грантов в различных организациях федерального и 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1975F0" w:rsidTr="005A2FA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Система подсчёта: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Министерства по культуре и туризму-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2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Заявка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в конкурс грантов Министерства по культуре и туризму-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1 балл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в организациях Калининградской области-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3 балла</w:t>
            </w:r>
          </w:p>
          <w:p w:rsidR="001975F0" w:rsidRDefault="001975F0">
            <w:pPr>
              <w:spacing w:after="200" w:line="276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Получение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гранта в федеральных и международных организациях-</w:t>
            </w:r>
            <w:r>
              <w:rPr>
                <w:rFonts w:ascii="Times New Roman" w:eastAsiaTheme="minorEastAsia" w:hAnsi="Times New Roman"/>
                <w:b/>
                <w:i/>
                <w:color w:val="C00000"/>
                <w:sz w:val="28"/>
                <w:szCs w:val="28"/>
                <w:lang w:eastAsia="ru-RU"/>
              </w:rPr>
              <w:t>4 балла</w:t>
            </w:r>
          </w:p>
        </w:tc>
      </w:tr>
    </w:tbl>
    <w:p w:rsidR="001975F0" w:rsidRDefault="001975F0" w:rsidP="001975F0">
      <w:pPr>
        <w:rPr>
          <w:sz w:val="32"/>
          <w:szCs w:val="32"/>
        </w:rPr>
      </w:pPr>
    </w:p>
    <w:p w:rsidR="001975F0" w:rsidRDefault="001975F0" w:rsidP="001975F0"/>
    <w:p w:rsidR="00B33597" w:rsidRDefault="00B33597"/>
    <w:sectPr w:rsidR="00B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16"/>
    <w:rsid w:val="0000107C"/>
    <w:rsid w:val="000A789F"/>
    <w:rsid w:val="00105398"/>
    <w:rsid w:val="00144229"/>
    <w:rsid w:val="00166A47"/>
    <w:rsid w:val="001975F0"/>
    <w:rsid w:val="00394019"/>
    <w:rsid w:val="003D586D"/>
    <w:rsid w:val="00491B64"/>
    <w:rsid w:val="00561608"/>
    <w:rsid w:val="005A2FA9"/>
    <w:rsid w:val="007C5C4D"/>
    <w:rsid w:val="007C7BB1"/>
    <w:rsid w:val="007D3D75"/>
    <w:rsid w:val="007E72FB"/>
    <w:rsid w:val="00811216"/>
    <w:rsid w:val="00846541"/>
    <w:rsid w:val="008F3A79"/>
    <w:rsid w:val="009378C9"/>
    <w:rsid w:val="009515FE"/>
    <w:rsid w:val="009E16DA"/>
    <w:rsid w:val="009F4F3E"/>
    <w:rsid w:val="00B33597"/>
    <w:rsid w:val="00B43317"/>
    <w:rsid w:val="00C34187"/>
    <w:rsid w:val="00CD1FDD"/>
    <w:rsid w:val="00DC7B64"/>
    <w:rsid w:val="00F03F4E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FC19-E9EE-49D8-AD61-F156CA7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F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C5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5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0A79-F56E-4E14-B7DF-1560D395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2019-12-28T07:37:00Z</dcterms:created>
  <dcterms:modified xsi:type="dcterms:W3CDTF">2019-12-28T08:25:00Z</dcterms:modified>
</cp:coreProperties>
</file>